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284C2" w14:textId="70C3865A" w:rsidR="00EE5974" w:rsidRPr="00EE5974" w:rsidRDefault="00EE5974" w:rsidP="00910158">
      <w:pPr>
        <w:spacing w:before="100" w:beforeAutospacing="1" w:after="100" w:afterAutospacing="1"/>
        <w:rPr>
          <w:rFonts w:eastAsia="Times New Roman"/>
          <w:b/>
          <w:bCs/>
          <w:szCs w:val="24"/>
          <w:lang w:eastAsia="pl-PL"/>
        </w:rPr>
      </w:pPr>
      <w:bookmarkStart w:id="0" w:name="_GoBack"/>
      <w:bookmarkEnd w:id="0"/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0000DEAF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BE915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14:paraId="7119A5F7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050F35BF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C6B8D0E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560EC2" w14:paraId="0CCA65AD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3D0848E3" w14:textId="77777777" w:rsidR="00910158" w:rsidRPr="00910158" w:rsidRDefault="00910158" w:rsidP="00910158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910158">
              <w:rPr>
                <w:rFonts w:ascii="Arial" w:eastAsia="Calibri" w:hAnsi="Arial" w:cs="Arial"/>
                <w:b/>
                <w:sz w:val="20"/>
                <w:lang w:val="en-GB"/>
              </w:rPr>
              <w:t>WITELON COLLEGIUM STATE UNIVERSITY</w:t>
            </w:r>
          </w:p>
          <w:p w14:paraId="59181AD6" w14:textId="448EDEF0" w:rsidR="00E91367" w:rsidRPr="00B814DB" w:rsidRDefault="001166AE" w:rsidP="00CE26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</w:t>
            </w:r>
            <w:r w:rsidR="00BA2427">
              <w:rPr>
                <w:rFonts w:ascii="Arial" w:hAnsi="Arial" w:cs="Arial"/>
                <w:b/>
                <w:sz w:val="20"/>
              </w:rPr>
              <w:t xml:space="preserve"> </w:t>
            </w:r>
            <w:r w:rsidR="00CE26C9">
              <w:rPr>
                <w:rFonts w:ascii="Arial" w:hAnsi="Arial" w:cs="Arial"/>
                <w:b/>
                <w:sz w:val="20"/>
              </w:rPr>
              <w:t xml:space="preserve">OF </w:t>
            </w:r>
            <w:r w:rsidR="00CE26C9">
              <w:rPr>
                <w:rFonts w:ascii="Arial" w:hAnsi="Arial" w:cs="Arial"/>
                <w:b/>
                <w:spacing w:val="0"/>
                <w:sz w:val="20"/>
                <w:lang w:val="en-US"/>
              </w:rPr>
              <w:t>SOCIAL SCIENCES AND HUMANITIES</w:t>
            </w:r>
          </w:p>
        </w:tc>
      </w:tr>
      <w:tr w:rsidR="00757065" w:rsidRPr="00560EC2" w14:paraId="313E4D69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4BAB60D5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08AEB40F" w14:textId="05FB6129" w:rsidR="00757065" w:rsidRPr="003127F4" w:rsidRDefault="005F5331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Pedagogy</w:t>
            </w:r>
          </w:p>
        </w:tc>
      </w:tr>
      <w:tr w:rsidR="003127F4" w:rsidRPr="00560EC2" w14:paraId="1EC94C7B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3E2C8432" w14:textId="77777777"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14:paraId="4CD83DD7" w14:textId="655B7577" w:rsidR="003127F4" w:rsidRPr="003127F4" w:rsidRDefault="005F5331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pedagogy</w:t>
            </w:r>
          </w:p>
        </w:tc>
      </w:tr>
      <w:tr w:rsidR="003127F4" w:rsidRPr="00560EC2" w14:paraId="175FC1C7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2B87C953" w14:textId="77777777"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14:paraId="1343494D" w14:textId="3E68AC8B" w:rsidR="003127F4" w:rsidRPr="003127F4" w:rsidRDefault="005F5331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14:paraId="26100E06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4F99A89D" w14:textId="77777777"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14:paraId="54E66726" w14:textId="486FD5BA" w:rsidR="003127F4" w:rsidRPr="00180191" w:rsidRDefault="004B25C4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127F4" w:rsidRPr="00560EC2" w14:paraId="182EB417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50F6C143" w14:textId="77777777"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25611350" w14:textId="6DD98755" w:rsidR="003127F4" w:rsidRPr="008E0C9E" w:rsidRDefault="005F5331" w:rsidP="00312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3127F4" w:rsidRPr="006E2AFB" w14:paraId="190C0292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F8988" w14:textId="77777777"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3127F4" w:rsidRPr="003C49E6" w14:paraId="20F713F4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7CCB5E8C" w14:textId="77777777" w:rsidR="003127F4" w:rsidRPr="00932EE8" w:rsidRDefault="003127F4" w:rsidP="00757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7F4" w:rsidRPr="00347A81" w14:paraId="4413EF92" w14:textId="77777777" w:rsidTr="00910158">
        <w:trPr>
          <w:trHeight w:val="567"/>
        </w:trPr>
        <w:tc>
          <w:tcPr>
            <w:tcW w:w="10422" w:type="dxa"/>
            <w:gridSpan w:val="3"/>
            <w:shd w:val="clear" w:color="auto" w:fill="auto"/>
          </w:tcPr>
          <w:p w14:paraId="069A7B41" w14:textId="60437FA0" w:rsidR="00140831" w:rsidRPr="00140831" w:rsidRDefault="003127F4" w:rsidP="00910158">
            <w:pPr>
              <w:pStyle w:val="HTML-wstpniesformatowany"/>
              <w:shd w:val="clear" w:color="auto" w:fill="F8F9FA"/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</w:pPr>
            <w:r w:rsidRPr="001408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831"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1: Presentation of terminology used in pedagogy as well as its sources and applications within related disciplines</w:t>
            </w:r>
            <w:r w:rsidR="00910158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 </w:t>
            </w:r>
            <w:r w:rsidR="00140831"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scientific.</w:t>
            </w:r>
          </w:p>
          <w:p w14:paraId="26559C5F" w14:textId="55824DCF" w:rsidR="00140831" w:rsidRPr="00140831" w:rsidRDefault="00140831" w:rsidP="001408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</w:pP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2: Presentation of extended knowledge about the place of pedagogy in the system </w:t>
            </w:r>
            <w:r w:rsidR="00910158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of sciences and its subject and </w:t>
            </w: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methodological connections with other disciplines / sub-disciplines of pedagogy</w:t>
            </w:r>
          </w:p>
          <w:p w14:paraId="3F7D33CE" w14:textId="1CEC94FA" w:rsidR="00140831" w:rsidRPr="00140831" w:rsidRDefault="00140831" w:rsidP="001408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</w:pP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3: To provide structured knowledge about education and its historical, philosophical and socio-cultural aspect</w:t>
            </w:r>
            <w:r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 </w:t>
            </w: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Scratch</w:t>
            </w:r>
          </w:p>
          <w:p w14:paraId="0280CA59" w14:textId="66BD91CF" w:rsidR="00140831" w:rsidRPr="00140831" w:rsidRDefault="00140831" w:rsidP="001408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</w:pP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4: Developing the ability to use basic theoretical knowledge in the field of pedagogy and related disciplines with her to analyze and interpret educational, upbringing and caring problems</w:t>
            </w:r>
            <w:r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, </w:t>
            </w: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 cultural and supportive, as well as motives and patterns of human behavior.</w:t>
            </w:r>
          </w:p>
          <w:p w14:paraId="64085FDE" w14:textId="77777777" w:rsidR="00140831" w:rsidRPr="00140831" w:rsidRDefault="00140831" w:rsidP="001408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</w:pP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5: Developing the ability to express yourself / communicate in a precise and consistent manner, both orally and in writing,</w:t>
            </w:r>
          </w:p>
          <w:p w14:paraId="3052BC17" w14:textId="66AAD79F" w:rsidR="00140831" w:rsidRPr="00140831" w:rsidRDefault="00140831" w:rsidP="001408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</w:pP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    on topics related to selected pedagogical issues / problems</w:t>
            </w:r>
          </w:p>
          <w:p w14:paraId="580043BC" w14:textId="77777777" w:rsidR="00140831" w:rsidRPr="00140831" w:rsidRDefault="00140831" w:rsidP="001408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</w:pP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>6: Shaping pedagogical culture and responsibility as well as in-depth reflection on the ethical dilemmas of the profession</w:t>
            </w:r>
          </w:p>
          <w:p w14:paraId="4EE49B5C" w14:textId="32574E12" w:rsidR="00140831" w:rsidRPr="00140831" w:rsidRDefault="00140831" w:rsidP="001408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eastAsia="pl-PL"/>
              </w:rPr>
            </w:pPr>
            <w:r w:rsidRPr="00140831">
              <w:rPr>
                <w:rFonts w:ascii="Arial" w:eastAsia="Times New Roman" w:hAnsi="Arial" w:cs="Arial"/>
                <w:color w:val="222222"/>
                <w:spacing w:val="0"/>
                <w:sz w:val="18"/>
                <w:szCs w:val="18"/>
                <w:lang w:val="en" w:eastAsia="pl-PL"/>
              </w:rPr>
              <w:t xml:space="preserve">      educator and teacher and their effects</w:t>
            </w:r>
          </w:p>
          <w:p w14:paraId="41C52B1E" w14:textId="6F77269B" w:rsidR="003127F4" w:rsidRPr="00140831" w:rsidRDefault="003127F4" w:rsidP="001408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7F4" w:rsidRPr="00560EC2" w14:paraId="1A708330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BDA8D6E" w14:textId="77777777"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3127F4" w:rsidRPr="00560EC2" w14:paraId="46DD1229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69659430" w14:textId="2090D125" w:rsidR="003127F4" w:rsidRDefault="005F5331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</w:t>
            </w:r>
          </w:p>
          <w:p w14:paraId="78F2E7C6" w14:textId="4CD082E6" w:rsidR="00757065" w:rsidRDefault="000B7318" w:rsidP="000B7318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Defines the basics terminology used in pedagogy and desribes its soures and application within related sientific disciplines</w:t>
            </w:r>
          </w:p>
          <w:p w14:paraId="763A7DAE" w14:textId="6EB448B0" w:rsidR="000B7318" w:rsidRDefault="000B7318" w:rsidP="000B7318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Reprodues and explains the basics theories of education, their historical, philosophial and socio-cultural foundations</w:t>
            </w:r>
          </w:p>
          <w:p w14:paraId="15557662" w14:textId="36CEC34C" w:rsidR="005F5331" w:rsidRPr="005F5331" w:rsidRDefault="005F5331" w:rsidP="005F53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</w:t>
            </w:r>
          </w:p>
          <w:p w14:paraId="195C2ADB" w14:textId="0DF5CA53" w:rsidR="000B7318" w:rsidRDefault="000B7318" w:rsidP="000B7318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 analyza and interpreter educational problems and aring, cultural and supportive, as well as motives and patterns of human behawior using basic knowledge in the field of pedagogy</w:t>
            </w:r>
          </w:p>
          <w:p w14:paraId="36DB165D" w14:textId="1A998875" w:rsidR="005F5331" w:rsidRPr="005F5331" w:rsidRDefault="005F5331" w:rsidP="005F53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ompetitions</w:t>
            </w:r>
          </w:p>
          <w:p w14:paraId="4B0C1E0A" w14:textId="79ECFFBB" w:rsidR="000B7318" w:rsidRPr="000B7318" w:rsidRDefault="003804A7" w:rsidP="000B7318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aware of the pedagogical and ethical responsibility for the educational impact</w:t>
            </w:r>
          </w:p>
          <w:p w14:paraId="19B29E2E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6AF8F0" w14:textId="77777777" w:rsidR="00757065" w:rsidRPr="00BD1DB6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6FC6" w:rsidRPr="00560EC2" w14:paraId="0D8BC459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2A0E9C37" w14:textId="77777777"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560EC2" w14:paraId="5FBE3BFD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45F8400E" w14:textId="0C269545" w:rsidR="003804A7" w:rsidRPr="003804A7" w:rsidRDefault="001166AE" w:rsidP="00380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Assesment method:</w:t>
            </w:r>
            <w:r w:rsidR="003804A7">
              <w:rPr>
                <w:rFonts w:ascii="Arial" w:hAnsi="Arial" w:cs="Arial"/>
                <w:b/>
                <w:sz w:val="18"/>
                <w:szCs w:val="18"/>
              </w:rPr>
              <w:t xml:space="preserve"> information lecture ( conventional), problem lecture, problem method, exercises</w:t>
            </w:r>
          </w:p>
        </w:tc>
      </w:tr>
      <w:tr w:rsidR="00426FC6" w:rsidRPr="00932EE8" w14:paraId="2CDE8EBA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20105020" w14:textId="77777777"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</w:p>
        </w:tc>
      </w:tr>
      <w:tr w:rsidR="006B02B5" w:rsidRPr="001166AE" w14:paraId="7F3F08D5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71164AC3" w14:textId="77777777"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1166AE" w14:paraId="0CB66428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118079C9" w14:textId="178A7696" w:rsidR="00633EC3" w:rsidRPr="00633EC3" w:rsidRDefault="00633EC3" w:rsidP="00633EC3">
            <w:pPr>
              <w:pStyle w:val="Akapitzlist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LECTURES;</w:t>
            </w:r>
          </w:p>
          <w:p w14:paraId="35A354F4" w14:textId="096C0ECD" w:rsidR="00633EC3" w:rsidRDefault="00633EC3" w:rsidP="00633E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33EC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The genesis of pedagogy - the emergence and development of pedagogy as a science. </w:t>
            </w:r>
          </w:p>
          <w:p w14:paraId="3B84FEEC" w14:textId="29689F30" w:rsidR="00633EC3" w:rsidRDefault="00633EC3" w:rsidP="00633E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33EC3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evolution of the identity of pedagogy.</w:t>
            </w:r>
          </w:p>
          <w:p w14:paraId="7834690A" w14:textId="55FED54D" w:rsidR="00633EC3" w:rsidRPr="00633EC3" w:rsidRDefault="00633EC3" w:rsidP="00633E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33EC3">
              <w:rPr>
                <w:rFonts w:ascii="Arial" w:hAnsi="Arial" w:cs="Arial"/>
                <w:bCs/>
                <w:sz w:val="18"/>
                <w:szCs w:val="18"/>
                <w:lang w:val="en-GB"/>
              </w:rPr>
              <w:t>Characteristics of pedagogy as a science. Subject of research, tasks. Methodology of pedagogical cognition. Functions of pedagogy as a science of education.</w:t>
            </w:r>
          </w:p>
          <w:p w14:paraId="0DAEA583" w14:textId="77777777" w:rsidR="00633EC3" w:rsidRPr="00633EC3" w:rsidRDefault="00633EC3" w:rsidP="00633E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33EC3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Inter / sub / trans disciplinarity of pedagogy. Division of pedagogy into specific sub-disciplines. Sciences cooperating with pedagogy.</w:t>
            </w:r>
          </w:p>
          <w:p w14:paraId="00105641" w14:textId="77777777" w:rsidR="00633EC3" w:rsidRPr="00633EC3" w:rsidRDefault="00633EC3" w:rsidP="00633E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33EC3">
              <w:rPr>
                <w:rFonts w:ascii="Arial" w:hAnsi="Arial" w:cs="Arial"/>
                <w:bCs/>
                <w:sz w:val="18"/>
                <w:szCs w:val="18"/>
                <w:lang w:val="en-GB"/>
              </w:rPr>
              <w:t>Philosophical and ideological foundations of education.</w:t>
            </w:r>
          </w:p>
          <w:p w14:paraId="0DC9AFEB" w14:textId="77777777" w:rsidR="00633EC3" w:rsidRPr="00633EC3" w:rsidRDefault="00633EC3" w:rsidP="00633E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33EC3">
              <w:rPr>
                <w:rFonts w:ascii="Arial" w:hAnsi="Arial" w:cs="Arial"/>
                <w:bCs/>
                <w:sz w:val="18"/>
                <w:szCs w:val="18"/>
                <w:lang w:val="en-GB"/>
              </w:rPr>
              <w:t>Terminology / language of pedagogy. Basic concepts of pedagogy and their understanding. Map of basic pedagogical concepts.</w:t>
            </w:r>
          </w:p>
          <w:p w14:paraId="4DCD2E38" w14:textId="77777777" w:rsidR="006B02B5" w:rsidRDefault="00633EC3" w:rsidP="00633E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33EC3">
              <w:rPr>
                <w:rFonts w:ascii="Arial" w:hAnsi="Arial" w:cs="Arial"/>
                <w:bCs/>
                <w:sz w:val="18"/>
                <w:szCs w:val="18"/>
                <w:lang w:val="en-GB"/>
              </w:rPr>
              <w:t>Educational paradigms (essence, varieties, understanding of education in the context of different paradigms).</w:t>
            </w:r>
          </w:p>
          <w:p w14:paraId="172F8CE8" w14:textId="5FF0F264" w:rsidR="00633EC3" w:rsidRDefault="00633EC3" w:rsidP="00633EC3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EXE</w:t>
            </w:r>
            <w:r w:rsid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CISES:</w:t>
            </w:r>
          </w:p>
          <w:p w14:paraId="5EC51D12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Colloquial and scientific understanding of education.</w:t>
            </w:r>
          </w:p>
          <w:p w14:paraId="4AF92DCE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Component processes of education.</w:t>
            </w:r>
          </w:p>
          <w:p w14:paraId="545F11C0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Pedagogical images of education.</w:t>
            </w:r>
          </w:p>
          <w:p w14:paraId="5E38CB63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Etymology of the concept - education. The essence of education.</w:t>
            </w:r>
          </w:p>
          <w:p w14:paraId="43DF9099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Various definitions of education.</w:t>
            </w:r>
          </w:p>
          <w:p w14:paraId="72BB0C2E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Education in the broad and narrow sense.</w:t>
            </w:r>
          </w:p>
          <w:p w14:paraId="0CCF2F4F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Classifications of the definition of upbringing.</w:t>
            </w:r>
          </w:p>
          <w:p w14:paraId="0356A113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Selected problems of contemporary pedagogy.</w:t>
            </w:r>
          </w:p>
          <w:p w14:paraId="2D6E124C" w14:textId="77777777" w:rsidR="005F5331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role of the pedagogue / educator in contemporary society.</w:t>
            </w:r>
          </w:p>
          <w:p w14:paraId="3042C618" w14:textId="72C0B084" w:rsidR="00633EC3" w:rsidRPr="005F5331" w:rsidRDefault="005F5331" w:rsidP="005F533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F53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Contemporary pedagogical trends, trends and ideologies.</w:t>
            </w:r>
          </w:p>
        </w:tc>
      </w:tr>
      <w:tr w:rsidR="006B02B5" w:rsidRPr="007B1035" w14:paraId="7934CAE6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C2D196A" w14:textId="77777777"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14:paraId="147AE8FA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7958E01F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14:paraId="619B0E27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14:paraId="45A48CDB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4A488D7F" w14:textId="77777777"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14:paraId="5C691056" w14:textId="1A17B34B" w:rsidR="006B02B5" w:rsidRPr="007463E5" w:rsidRDefault="00CE26C9" w:rsidP="00CE2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6B02B5" w:rsidRPr="00972B20" w14:paraId="7B067466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4BC90B0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14:paraId="610795B0" w14:textId="50D61FAF" w:rsidR="006B02B5" w:rsidRPr="00972B20" w:rsidRDefault="005A43BD" w:rsidP="00CE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6B02B5" w:rsidRPr="00972B20" w14:paraId="42309ED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41AC69BC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14:paraId="0E6134BB" w14:textId="2B78AE68" w:rsidR="006B02B5" w:rsidRPr="00972B20" w:rsidRDefault="007463E5" w:rsidP="00CE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14:paraId="044F4A82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E4A345C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14:paraId="5FC7853C" w14:textId="00E91007" w:rsidR="006B02B5" w:rsidRPr="00972B20" w:rsidRDefault="005A43BD" w:rsidP="00CE2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B02B5" w:rsidRPr="00972B20" w14:paraId="388EFA83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70EA0C6E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14:paraId="5DEBC26F" w14:textId="492698E8" w:rsidR="006B02B5" w:rsidRPr="007463E5" w:rsidRDefault="00CE26C9" w:rsidP="00CE2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</w:tr>
      <w:tr w:rsidR="006B02B5" w:rsidRPr="00972B20" w14:paraId="3D31062E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02D336D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14:paraId="411AD382" w14:textId="3609699B" w:rsidR="006B02B5" w:rsidRPr="00972B20" w:rsidRDefault="007463E5" w:rsidP="0095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854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7B1035" w14:paraId="1850BB4F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CC6F864" w14:textId="77777777"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14:paraId="1833DA77" w14:textId="60F41096" w:rsidR="006B02B5" w:rsidRPr="007B1035" w:rsidRDefault="007463E5" w:rsidP="0095730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25</w:t>
            </w:r>
          </w:p>
        </w:tc>
      </w:tr>
      <w:tr w:rsidR="006B02B5" w:rsidRPr="00972B20" w14:paraId="5B2FCAD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C2E8264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14:paraId="4F4D151D" w14:textId="75561CDC" w:rsidR="006B02B5" w:rsidRPr="00972B20" w:rsidRDefault="006B02B5" w:rsidP="0095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3B63A55C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3852A4A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14:paraId="36B43BB7" w14:textId="265DEE7E" w:rsidR="006B02B5" w:rsidRPr="00972B20" w:rsidRDefault="00CE26C9" w:rsidP="0095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972B20" w14:paraId="70DF1B03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8CB9801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14:paraId="3593598C" w14:textId="634F61D7" w:rsidR="006B02B5" w:rsidRPr="00972B20" w:rsidRDefault="006B02B5" w:rsidP="007463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1F3E3C19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A1C230C" w14:textId="77777777"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14:paraId="64795EFF" w14:textId="2D950F33" w:rsidR="006B02B5" w:rsidRPr="00972B20" w:rsidRDefault="007463E5" w:rsidP="0095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6B02B5" w:rsidRPr="00972B20" w14:paraId="22DD1B31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31944E4B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14:paraId="218C6A77" w14:textId="7CF3E4A0" w:rsidR="006B02B5" w:rsidRPr="00972B20" w:rsidRDefault="004B25C4" w:rsidP="0095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854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972B20" w14:paraId="599FC5BE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768F6FA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14:paraId="30D795EF" w14:textId="00062C27" w:rsidR="006B02B5" w:rsidRPr="00972B20" w:rsidRDefault="004B25C4" w:rsidP="0095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560EC2" w14:paraId="6BC349FC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6171F4A5" w14:textId="77777777"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560EC2" w14:paraId="6C5B4BB4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23B72D89" w14:textId="77777777" w:rsidR="00633EC3" w:rsidRPr="00993DE7" w:rsidRDefault="00633EC3" w:rsidP="00633EC3">
            <w:pPr>
              <w:rPr>
                <w:rFonts w:ascii="Arial" w:hAnsi="Arial" w:cs="Arial"/>
                <w:sz w:val="18"/>
                <w:szCs w:val="18"/>
              </w:rPr>
            </w:pPr>
            <w:r w:rsidRPr="00993DE7">
              <w:rPr>
                <w:rFonts w:ascii="Arial" w:hAnsi="Arial" w:cs="Arial"/>
                <w:iCs/>
                <w:sz w:val="18"/>
                <w:szCs w:val="18"/>
              </w:rPr>
              <w:t>1.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93DE7">
              <w:rPr>
                <w:rFonts w:ascii="Arial" w:hAnsi="Arial" w:cs="Arial"/>
                <w:i/>
                <w:iCs/>
                <w:sz w:val="18"/>
                <w:szCs w:val="18"/>
              </w:rPr>
              <w:t>Ewolucja tożsamości pedagogiki</w:t>
            </w:r>
            <w:r w:rsidRPr="00993DE7">
              <w:rPr>
                <w:rFonts w:ascii="Arial" w:hAnsi="Arial" w:cs="Arial"/>
                <w:sz w:val="18"/>
                <w:szCs w:val="18"/>
              </w:rPr>
              <w:t>,  (red) Kwiatkowska H., Warszawa 1994.</w:t>
            </w:r>
          </w:p>
          <w:p w14:paraId="455AA494" w14:textId="77777777" w:rsidR="00633EC3" w:rsidRPr="00993DE7" w:rsidRDefault="00633EC3" w:rsidP="00633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Hejnicka-Bezwińska T.,  </w:t>
            </w:r>
            <w:r w:rsidRPr="00993DE7">
              <w:rPr>
                <w:rFonts w:ascii="Arial" w:hAnsi="Arial" w:cs="Arial"/>
                <w:i/>
                <w:sz w:val="18"/>
                <w:szCs w:val="18"/>
              </w:rPr>
              <w:t>Pedagogika ogólna,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  Warszawa 2008.</w:t>
            </w:r>
          </w:p>
          <w:p w14:paraId="4168AA5E" w14:textId="77777777" w:rsidR="00633EC3" w:rsidRPr="00993DE7" w:rsidRDefault="00633EC3" w:rsidP="00633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Gutek L.G., </w:t>
            </w:r>
            <w:r w:rsidRPr="00993DE7">
              <w:rPr>
                <w:rFonts w:ascii="Arial" w:hAnsi="Arial" w:cs="Arial"/>
                <w:i/>
                <w:sz w:val="18"/>
                <w:szCs w:val="18"/>
              </w:rPr>
              <w:t>Filozoficzne i ideologiczne podstawy edukacji,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 Gdańsk 2003.</w:t>
            </w:r>
          </w:p>
          <w:p w14:paraId="675CA180" w14:textId="77777777" w:rsidR="00633EC3" w:rsidRPr="00993DE7" w:rsidRDefault="00633EC3" w:rsidP="00633EC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3DE7">
              <w:rPr>
                <w:rFonts w:ascii="Arial" w:hAnsi="Arial" w:cs="Arial"/>
                <w:iCs/>
                <w:sz w:val="18"/>
                <w:szCs w:val="18"/>
              </w:rPr>
              <w:t>4.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93DE7">
              <w:rPr>
                <w:rFonts w:ascii="Arial" w:hAnsi="Arial" w:cs="Arial"/>
                <w:i/>
                <w:iCs/>
                <w:sz w:val="18"/>
                <w:szCs w:val="18"/>
              </w:rPr>
              <w:t>Pedagogika. Tom.I,II</w:t>
            </w:r>
            <w:r w:rsidRPr="00993DE7">
              <w:rPr>
                <w:rFonts w:ascii="Arial" w:hAnsi="Arial" w:cs="Arial"/>
                <w:iCs/>
                <w:sz w:val="18"/>
                <w:szCs w:val="18"/>
              </w:rPr>
              <w:t>,(red) Kwieciński Z., Śliwerski B., Warszawa 2003, 2004.</w:t>
            </w:r>
          </w:p>
          <w:p w14:paraId="67ACA508" w14:textId="77777777" w:rsidR="00633EC3" w:rsidRPr="00993DE7" w:rsidRDefault="00633EC3" w:rsidP="00633EC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93DE7">
              <w:rPr>
                <w:rFonts w:ascii="Arial" w:hAnsi="Arial" w:cs="Arial"/>
                <w:iCs/>
                <w:sz w:val="18"/>
                <w:szCs w:val="18"/>
              </w:rPr>
              <w:t>5.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93DE7">
              <w:rPr>
                <w:rFonts w:ascii="Arial" w:hAnsi="Arial" w:cs="Arial"/>
                <w:i/>
                <w:iCs/>
                <w:sz w:val="18"/>
                <w:szCs w:val="18"/>
              </w:rPr>
              <w:t>Pedagogika. Podstawy nauk o wychowaniu. Tom 1</w:t>
            </w:r>
            <w:r w:rsidRPr="00993DE7">
              <w:rPr>
                <w:rFonts w:ascii="Arial" w:hAnsi="Arial" w:cs="Arial"/>
                <w:iCs/>
                <w:sz w:val="18"/>
                <w:szCs w:val="18"/>
              </w:rPr>
              <w:t>, (red) Śliwerski B., Gdańsk 2006.</w:t>
            </w:r>
          </w:p>
          <w:p w14:paraId="65441592" w14:textId="77777777" w:rsidR="00633EC3" w:rsidRPr="00993DE7" w:rsidRDefault="00633EC3" w:rsidP="00633EC3">
            <w:pPr>
              <w:rPr>
                <w:rFonts w:ascii="Arial" w:hAnsi="Arial" w:cs="Arial"/>
                <w:sz w:val="18"/>
                <w:szCs w:val="18"/>
              </w:rPr>
            </w:pPr>
            <w:r w:rsidRPr="00993DE7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DE7">
              <w:rPr>
                <w:rFonts w:ascii="Arial" w:hAnsi="Arial" w:cs="Arial"/>
                <w:i/>
                <w:sz w:val="18"/>
                <w:szCs w:val="18"/>
              </w:rPr>
              <w:t>Pedagogika ogólna i subdyscypliny</w:t>
            </w:r>
            <w:r w:rsidRPr="00993DE7">
              <w:rPr>
                <w:rFonts w:ascii="Arial" w:hAnsi="Arial" w:cs="Arial"/>
                <w:sz w:val="18"/>
                <w:szCs w:val="18"/>
              </w:rPr>
              <w:t>, (red) Turos L., Warszawa 1999.</w:t>
            </w:r>
          </w:p>
          <w:p w14:paraId="7FFC70EE" w14:textId="77777777" w:rsidR="00633EC3" w:rsidRPr="00993DE7" w:rsidRDefault="00633EC3" w:rsidP="00633EC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Śliwerski B., </w:t>
            </w:r>
            <w:r w:rsidRPr="00993DE7">
              <w:rPr>
                <w:rFonts w:ascii="Arial" w:hAnsi="Arial" w:cs="Arial"/>
                <w:i/>
                <w:sz w:val="18"/>
                <w:szCs w:val="18"/>
              </w:rPr>
              <w:t>Pedagogika ogólna. Podstawowe prawidłowości,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 Kraków 2012.</w:t>
            </w:r>
          </w:p>
          <w:p w14:paraId="12855413" w14:textId="77777777" w:rsidR="00633EC3" w:rsidRPr="00993DE7" w:rsidRDefault="00633EC3" w:rsidP="00633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Śliwerski B., </w:t>
            </w:r>
            <w:r w:rsidRPr="00993DE7">
              <w:rPr>
                <w:rFonts w:ascii="Arial" w:hAnsi="Arial" w:cs="Arial"/>
                <w:i/>
                <w:iCs/>
                <w:sz w:val="18"/>
                <w:szCs w:val="18"/>
              </w:rPr>
              <w:t>Współczesne teorie i nurty wychowania</w:t>
            </w:r>
            <w:r w:rsidRPr="00993DE7">
              <w:rPr>
                <w:rFonts w:ascii="Arial" w:hAnsi="Arial" w:cs="Arial"/>
                <w:sz w:val="18"/>
                <w:szCs w:val="18"/>
              </w:rPr>
              <w:t>, Kraków 2015.</w:t>
            </w:r>
          </w:p>
          <w:p w14:paraId="1FF708E3" w14:textId="77777777" w:rsidR="00633EC3" w:rsidRPr="00993DE7" w:rsidRDefault="00633EC3" w:rsidP="00633EC3">
            <w:pPr>
              <w:tabs>
                <w:tab w:val="left" w:pos="36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Szempruch J., </w:t>
            </w:r>
            <w:r w:rsidRPr="00993DE7">
              <w:rPr>
                <w:rFonts w:ascii="Arial" w:hAnsi="Arial" w:cs="Arial"/>
                <w:i/>
                <w:sz w:val="18"/>
                <w:szCs w:val="18"/>
              </w:rPr>
              <w:t>Nauczyciel w warunkach zmiany społecznej i  kulturowej</w:t>
            </w:r>
            <w:r w:rsidRPr="00993DE7">
              <w:rPr>
                <w:rFonts w:ascii="Arial" w:hAnsi="Arial" w:cs="Arial"/>
                <w:sz w:val="18"/>
                <w:szCs w:val="18"/>
              </w:rPr>
              <w:t>, Kraków 2012.</w:t>
            </w:r>
          </w:p>
          <w:p w14:paraId="631CB7D7" w14:textId="77777777" w:rsidR="00633EC3" w:rsidRPr="00993DE7" w:rsidRDefault="00633EC3" w:rsidP="00633EC3">
            <w:pPr>
              <w:rPr>
                <w:rFonts w:ascii="Arial" w:hAnsi="Arial" w:cs="Arial"/>
                <w:sz w:val="18"/>
                <w:szCs w:val="18"/>
              </w:rPr>
            </w:pPr>
            <w:r w:rsidRPr="00993DE7">
              <w:rPr>
                <w:rFonts w:ascii="Arial" w:hAnsi="Arial" w:cs="Arial"/>
                <w:iCs/>
                <w:sz w:val="18"/>
                <w:szCs w:val="18"/>
              </w:rPr>
              <w:t>10.</w:t>
            </w:r>
            <w:r w:rsidRPr="00993DE7">
              <w:rPr>
                <w:rFonts w:ascii="Arial" w:hAnsi="Arial" w:cs="Arial"/>
                <w:i/>
                <w:iCs/>
                <w:sz w:val="18"/>
                <w:szCs w:val="18"/>
              </w:rPr>
              <w:t>Wprowadzenie do pedagogiki</w:t>
            </w:r>
            <w:r w:rsidRPr="00993DE7">
              <w:rPr>
                <w:rFonts w:ascii="Arial" w:hAnsi="Arial" w:cs="Arial"/>
                <w:sz w:val="18"/>
                <w:szCs w:val="18"/>
              </w:rPr>
              <w:t xml:space="preserve"> (red) Jaworska T., Leppert  R., Kraków (1998), 2001.</w:t>
            </w:r>
          </w:p>
          <w:p w14:paraId="7C192988" w14:textId="5FC5A8F7" w:rsidR="006B02B5" w:rsidRPr="007E4CE0" w:rsidRDefault="00633EC3" w:rsidP="00633E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E7">
              <w:rPr>
                <w:rFonts w:ascii="Arial" w:hAnsi="Arial" w:cs="Arial"/>
                <w:sz w:val="18"/>
                <w:szCs w:val="18"/>
              </w:rPr>
              <w:t>11.</w:t>
            </w:r>
            <w:r w:rsidRPr="00993DE7">
              <w:rPr>
                <w:rFonts w:ascii="Arial" w:hAnsi="Arial" w:cs="Arial"/>
                <w:i/>
                <w:sz w:val="18"/>
                <w:szCs w:val="18"/>
              </w:rPr>
              <w:t>Wychowanie. Pojęcia. Procesy. Konteksty</w:t>
            </w:r>
            <w:r w:rsidRPr="00993DE7">
              <w:rPr>
                <w:rFonts w:ascii="Arial" w:hAnsi="Arial" w:cs="Arial"/>
                <w:sz w:val="18"/>
                <w:szCs w:val="18"/>
              </w:rPr>
              <w:t>, (red) Dudzikowa M., Czerepaniak-Walczak M., Gdańsk 2007.</w:t>
            </w:r>
          </w:p>
        </w:tc>
      </w:tr>
      <w:tr w:rsidR="006B02B5" w:rsidRPr="00560EC2" w14:paraId="51BB29DE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057417A1" w14:textId="77777777" w:rsidR="006B02B5" w:rsidRPr="004A7797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21433" w14:textId="77777777" w:rsidR="00316835" w:rsidRPr="00FF60AC" w:rsidRDefault="00316835">
      <w:pPr>
        <w:rPr>
          <w:rFonts w:ascii="Arial" w:hAnsi="Arial" w:cs="Arial"/>
          <w:sz w:val="20"/>
        </w:rPr>
      </w:pPr>
    </w:p>
    <w:p w14:paraId="460DA73E" w14:textId="77777777" w:rsidR="00741C7C" w:rsidRPr="007D67F1" w:rsidRDefault="00741C7C" w:rsidP="00ED4CE3">
      <w:pPr>
        <w:ind w:firstLine="708"/>
        <w:rPr>
          <w:rFonts w:ascii="Arial" w:hAnsi="Arial" w:cs="Arial"/>
          <w:sz w:val="18"/>
          <w:szCs w:val="18"/>
        </w:rPr>
      </w:pPr>
    </w:p>
    <w:sectPr w:rsidR="00741C7C" w:rsidRPr="007D67F1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7906" w14:textId="77777777" w:rsidR="00204E76" w:rsidRDefault="00204E76" w:rsidP="00404DCD">
      <w:pPr>
        <w:spacing w:line="240" w:lineRule="auto"/>
      </w:pPr>
      <w:r>
        <w:separator/>
      </w:r>
    </w:p>
  </w:endnote>
  <w:endnote w:type="continuationSeparator" w:id="0">
    <w:p w14:paraId="098DF009" w14:textId="77777777" w:rsidR="00204E76" w:rsidRDefault="00204E76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563F5284" w14:textId="329A7DE4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910158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64D711C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2736D" w14:textId="77777777" w:rsidR="00204E76" w:rsidRDefault="00204E76" w:rsidP="00404DCD">
      <w:pPr>
        <w:spacing w:line="240" w:lineRule="auto"/>
      </w:pPr>
      <w:r>
        <w:separator/>
      </w:r>
    </w:p>
  </w:footnote>
  <w:footnote w:type="continuationSeparator" w:id="0">
    <w:p w14:paraId="6D38DB63" w14:textId="77777777" w:rsidR="00204E76" w:rsidRDefault="00204E76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4B3"/>
    <w:multiLevelType w:val="hybridMultilevel"/>
    <w:tmpl w:val="881E5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47D5E"/>
    <w:multiLevelType w:val="hybridMultilevel"/>
    <w:tmpl w:val="80A83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17"/>
  </w:num>
  <w:num w:numId="6">
    <w:abstractNumId w:val="13"/>
  </w:num>
  <w:num w:numId="7">
    <w:abstractNumId w:val="20"/>
  </w:num>
  <w:num w:numId="8">
    <w:abstractNumId w:val="11"/>
  </w:num>
  <w:num w:numId="9">
    <w:abstractNumId w:val="3"/>
  </w:num>
  <w:num w:numId="10">
    <w:abstractNumId w:val="10"/>
  </w:num>
  <w:num w:numId="11">
    <w:abstractNumId w:val="19"/>
  </w:num>
  <w:num w:numId="12">
    <w:abstractNumId w:val="4"/>
  </w:num>
  <w:num w:numId="13">
    <w:abstractNumId w:val="12"/>
  </w:num>
  <w:num w:numId="14">
    <w:abstractNumId w:val="18"/>
  </w:num>
  <w:num w:numId="15">
    <w:abstractNumId w:val="1"/>
  </w:num>
  <w:num w:numId="16">
    <w:abstractNumId w:val="8"/>
  </w:num>
  <w:num w:numId="17">
    <w:abstractNumId w:val="16"/>
  </w:num>
  <w:num w:numId="18">
    <w:abstractNumId w:val="15"/>
  </w:num>
  <w:num w:numId="19">
    <w:abstractNumId w:val="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95912"/>
    <w:rsid w:val="000A1B9A"/>
    <w:rsid w:val="000A2703"/>
    <w:rsid w:val="000A5312"/>
    <w:rsid w:val="000A6BCC"/>
    <w:rsid w:val="000B02CD"/>
    <w:rsid w:val="000B7318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0831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4E76"/>
    <w:rsid w:val="00205407"/>
    <w:rsid w:val="00205D97"/>
    <w:rsid w:val="0020717D"/>
    <w:rsid w:val="00211A0C"/>
    <w:rsid w:val="00216C71"/>
    <w:rsid w:val="0022149C"/>
    <w:rsid w:val="00227221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77159"/>
    <w:rsid w:val="003804A7"/>
    <w:rsid w:val="003829DE"/>
    <w:rsid w:val="00383BAA"/>
    <w:rsid w:val="00396390"/>
    <w:rsid w:val="003A09E7"/>
    <w:rsid w:val="003A15AC"/>
    <w:rsid w:val="003A6646"/>
    <w:rsid w:val="003B0888"/>
    <w:rsid w:val="003B1202"/>
    <w:rsid w:val="003B6A68"/>
    <w:rsid w:val="003C041C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843B6"/>
    <w:rsid w:val="00495936"/>
    <w:rsid w:val="004A30EF"/>
    <w:rsid w:val="004A638B"/>
    <w:rsid w:val="004A7797"/>
    <w:rsid w:val="004B25C4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04CAE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43BD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5F5331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3EC3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A7E58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463E5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85480"/>
    <w:rsid w:val="00790B9C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10158"/>
    <w:rsid w:val="009208BE"/>
    <w:rsid w:val="00925093"/>
    <w:rsid w:val="00932EE8"/>
    <w:rsid w:val="00932F12"/>
    <w:rsid w:val="00937151"/>
    <w:rsid w:val="0094786F"/>
    <w:rsid w:val="00955A01"/>
    <w:rsid w:val="0095661E"/>
    <w:rsid w:val="0095730B"/>
    <w:rsid w:val="00961113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6C9"/>
    <w:rsid w:val="00CE2EB0"/>
    <w:rsid w:val="00CE2EB5"/>
    <w:rsid w:val="00CE422F"/>
    <w:rsid w:val="00CE63B9"/>
    <w:rsid w:val="00CF0AED"/>
    <w:rsid w:val="00CF379C"/>
    <w:rsid w:val="00CF5E4B"/>
    <w:rsid w:val="00D053C5"/>
    <w:rsid w:val="00D0722A"/>
    <w:rsid w:val="00D1477E"/>
    <w:rsid w:val="00D16E7D"/>
    <w:rsid w:val="00D17B3F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B7A0"/>
  <w15:docId w15:val="{661EFD85-8313-4577-9D53-BA6699A3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831"/>
    <w:pPr>
      <w:spacing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831"/>
    <w:rPr>
      <w:rFonts w:ascii="Consolas" w:hAnsi="Consola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69432-BF2A-4A66-929D-E990F910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4</cp:revision>
  <cp:lastPrinted>2020-03-09T10:41:00Z</cp:lastPrinted>
  <dcterms:created xsi:type="dcterms:W3CDTF">2021-02-24T12:38:00Z</dcterms:created>
  <dcterms:modified xsi:type="dcterms:W3CDTF">2023-03-01T09:37:00Z</dcterms:modified>
</cp:coreProperties>
</file>