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1520"/>
        <w:gridCol w:w="1238"/>
        <w:gridCol w:w="1055"/>
        <w:gridCol w:w="851"/>
        <w:gridCol w:w="711"/>
        <w:gridCol w:w="845"/>
        <w:gridCol w:w="818"/>
        <w:gridCol w:w="1021"/>
        <w:gridCol w:w="978"/>
        <w:gridCol w:w="191"/>
        <w:gridCol w:w="638"/>
      </w:tblGrid>
      <w:tr w:rsidR="00BF75B1" w14:paraId="79E585A0" w14:textId="77777777" w:rsidTr="00B52B9E">
        <w:trPr>
          <w:trHeight w:val="340"/>
        </w:trPr>
        <w:tc>
          <w:tcPr>
            <w:tcW w:w="986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42327" w14:textId="77777777" w:rsidR="00BF75B1" w:rsidRDefault="00CB2B8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</w:rPr>
              <w:t>card</w:t>
            </w:r>
            <w:proofErr w:type="spellEnd"/>
          </w:p>
        </w:tc>
      </w:tr>
      <w:tr w:rsidR="00BF75B1" w14:paraId="590D5B9F" w14:textId="77777777" w:rsidTr="00B52B9E">
        <w:trPr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445211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I.  GENERAL INFORMATION</w:t>
            </w:r>
          </w:p>
        </w:tc>
      </w:tr>
      <w:tr w:rsidR="00BF75B1" w:rsidRPr="0032040F" w14:paraId="12030B95" w14:textId="77777777" w:rsidTr="00B52B9E">
        <w:trPr>
          <w:trHeight w:val="54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CFEE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  <w:t xml:space="preserve">WITELON COLLEGIUM STATE UNIVERSITY </w:t>
            </w:r>
          </w:p>
          <w:p w14:paraId="18B5D041" w14:textId="64741280" w:rsidR="00BF75B1" w:rsidRPr="00FE2977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 xml:space="preserve">DEPARTMENT </w:t>
            </w:r>
            <w:r w:rsidR="00FE2977" w:rsidRPr="00FE2977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US"/>
              </w:rPr>
              <w:t>FACULTY OF HEALTH AND PHYSICAL CULTURE SCIENCES</w:t>
            </w:r>
          </w:p>
        </w:tc>
      </w:tr>
      <w:tr w:rsidR="00BF75B1" w:rsidRPr="0032040F" w14:paraId="50C71570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0EED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Field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4BA0" w14:textId="489974BF" w:rsidR="00BF75B1" w:rsidRPr="00FE2977" w:rsidRDefault="00FE2977" w:rsidP="00FE2977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FE297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Physiotherapy (master studies)</w:t>
            </w:r>
          </w:p>
        </w:tc>
      </w:tr>
      <w:tr w:rsidR="00BF75B1" w14:paraId="134CE91F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B24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7232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Erasmus</w:t>
            </w:r>
          </w:p>
        </w:tc>
      </w:tr>
      <w:tr w:rsidR="00BF75B1" w:rsidRPr="0032040F" w14:paraId="1F4E7485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FA25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title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138A" w14:textId="4C9D494C" w:rsidR="00BF75B1" w:rsidRPr="00FE2977" w:rsidRDefault="00FE2977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Human physiology and exercise physiology</w:t>
            </w:r>
          </w:p>
        </w:tc>
      </w:tr>
      <w:tr w:rsidR="00BF75B1" w:rsidRPr="00BB0054" w14:paraId="50B21D78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CE90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type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1F49" w14:textId="13125651" w:rsidR="00BF75B1" w:rsidRP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pacing w:val="-2"/>
                <w:sz w:val="16"/>
                <w:szCs w:val="16"/>
                <w:lang w:val="en-US"/>
              </w:rPr>
            </w:pPr>
            <w:r w:rsidRPr="00BB005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Full-t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ime studies</w:t>
            </w:r>
          </w:p>
        </w:tc>
      </w:tr>
      <w:tr w:rsidR="00BF75B1" w14:paraId="1C02B9FF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584A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lecture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E49B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English</w:t>
            </w:r>
          </w:p>
        </w:tc>
      </w:tr>
      <w:tr w:rsidR="00BF75B1" w:rsidRPr="0032040F" w14:paraId="5ED4E46B" w14:textId="77777777" w:rsidTr="00B52B9E">
        <w:trPr>
          <w:trHeight w:val="284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1B25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Year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1410" w14:textId="49F722F5" w:rsidR="00BF75B1" w:rsidRDefault="00EF1B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>ear</w:t>
            </w:r>
            <w:proofErr w:type="spellEnd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 xml:space="preserve"> 2, </w:t>
            </w:r>
            <w:proofErr w:type="spellStart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>semester</w:t>
            </w:r>
            <w:proofErr w:type="spellEnd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 xml:space="preserve"> 3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7770" w14:textId="77777777" w:rsidR="00BF75B1" w:rsidRPr="00FE2977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Forms of teaching including number of teaching hours:</w:t>
            </w:r>
          </w:p>
        </w:tc>
      </w:tr>
      <w:tr w:rsidR="00BF75B1" w14:paraId="6FD548C5" w14:textId="77777777" w:rsidTr="00B52B9E">
        <w:trPr>
          <w:trHeight w:val="284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C9D2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winter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4CF" w14:textId="77E09C80" w:rsidR="00BF75B1" w:rsidRDefault="00EF1B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winter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D9E5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Lectures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E0DD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Classes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3A60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Laboratory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8A4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Project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2768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Workshop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93BA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Seminar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2354" w14:textId="00C688AB" w:rsidR="00BF75B1" w:rsidRDefault="00981A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Self-study</w:t>
            </w:r>
            <w:proofErr w:type="spellEnd"/>
          </w:p>
        </w:tc>
      </w:tr>
      <w:tr w:rsidR="00BF75B1" w:rsidRPr="00FE2977" w14:paraId="3F66E060" w14:textId="77777777" w:rsidTr="00B52B9E">
        <w:trPr>
          <w:trHeight w:val="34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A620" w14:textId="77777777" w:rsidR="00BF75B1" w:rsidRPr="00FE2977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Total number of ECTS credits: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FD81" w14:textId="470BA98F" w:rsidR="00BF75B1" w:rsidRPr="00FE2977" w:rsidRDefault="004A76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1C92" w14:textId="52410139" w:rsidR="00BF75B1" w:rsidRPr="00FE2977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DA8" w14:textId="6F5AF6FB" w:rsidR="00BF75B1" w:rsidRPr="00FE2977" w:rsidRDefault="00BF75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F02B" w14:textId="1B01CE53" w:rsidR="00BF75B1" w:rsidRPr="00FE2977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8F2A" w14:textId="17071B59" w:rsidR="00BF75B1" w:rsidRPr="00FE2977" w:rsidRDefault="00BF75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2DAE" w14:textId="77777777" w:rsidR="00BF75B1" w:rsidRPr="00FE2977" w:rsidRDefault="00BF75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2396" w14:textId="77777777" w:rsidR="00BF75B1" w:rsidRPr="00FE2977" w:rsidRDefault="00BF75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EDE3" w14:textId="433D2854" w:rsidR="00BF75B1" w:rsidRPr="00FE2977" w:rsidRDefault="00F66C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60</w:t>
            </w:r>
          </w:p>
        </w:tc>
      </w:tr>
      <w:tr w:rsidR="00BF75B1" w14:paraId="10772215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A494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completion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BC92" w14:textId="2BF0F637" w:rsidR="00BF75B1" w:rsidRDefault="00EF1BCB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proofErr w:type="spellStart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>Final</w:t>
            </w:r>
            <w:proofErr w:type="spellEnd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F1BCB">
              <w:rPr>
                <w:rFonts w:ascii="Arial" w:hAnsi="Arial" w:cs="Arial"/>
                <w:spacing w:val="-2"/>
                <w:sz w:val="16"/>
                <w:szCs w:val="16"/>
              </w:rPr>
              <w:t>examination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BF75B1" w14:paraId="0A88DF9A" w14:textId="77777777" w:rsidTr="00B52B9E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877" w14:textId="77777777" w:rsidR="00BF75B1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Prerequisites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36D9" w14:textId="52BA67FD" w:rsidR="00BF75B1" w:rsidRDefault="00EF1B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</w:tr>
      <w:tr w:rsidR="00BF75B1" w14:paraId="7B896E57" w14:textId="77777777" w:rsidTr="00B52B9E">
        <w:trPr>
          <w:trHeight w:val="365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F6D656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II. LEARNING OBJECTIVES</w:t>
            </w:r>
          </w:p>
        </w:tc>
      </w:tr>
      <w:tr w:rsidR="00BF75B1" w14:paraId="578D5FF3" w14:textId="77777777" w:rsidTr="00B52B9E">
        <w:trPr>
          <w:trHeight w:val="35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FC49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</w:tr>
      <w:tr w:rsidR="00BF75B1" w:rsidRPr="0032040F" w14:paraId="1B63E55B" w14:textId="77777777" w:rsidTr="00B52B9E">
        <w:trPr>
          <w:trHeight w:val="63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C88A" w14:textId="7DABAE2C" w:rsidR="00BF75B1" w:rsidRPr="00981A74" w:rsidRDefault="00CB2B8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981A74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Objective 1:</w:t>
            </w:r>
            <w:r w:rsidRPr="00981A7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="00981A74" w:rsidRPr="00981A7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Understand vital physiological processes and mechanisms in particular cells, tissues, organs and organ systems in normal conditions and be able to explain the mechanisms of regulation of physiological functions.</w:t>
            </w:r>
          </w:p>
          <w:p w14:paraId="4A68391D" w14:textId="0C21DB5E" w:rsidR="00BF75B1" w:rsidRPr="00BB0054" w:rsidRDefault="00CB2B8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981A74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Objective 2:</w:t>
            </w:r>
            <w:r w:rsidRPr="00981A7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="00BB0054" w:rsidRPr="00BB0054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To understand how the properties of each physiological system support the ability to human organism to adaptation</w:t>
            </w:r>
          </w:p>
        </w:tc>
      </w:tr>
      <w:tr w:rsidR="00BF75B1" w14:paraId="7849EC33" w14:textId="77777777" w:rsidTr="00B52B9E">
        <w:trPr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28309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IV. PROGRAMME CONTENT</w:t>
            </w:r>
          </w:p>
        </w:tc>
      </w:tr>
      <w:tr w:rsidR="00BF75B1" w:rsidRPr="0032040F" w14:paraId="173D7A47" w14:textId="77777777" w:rsidTr="00B52B9E">
        <w:trPr>
          <w:trHeight w:val="56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4B00" w14:textId="77777777" w:rsidR="00BF75B1" w:rsidRPr="00FE2977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 xml:space="preserve">Content of the </w:t>
            </w:r>
            <w:proofErr w:type="spellStart"/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programme</w:t>
            </w:r>
            <w:proofErr w:type="spellEnd"/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 xml:space="preserve"> (topics of classes, presented with a breakdown into individual forms of classes </w:t>
            </w:r>
          </w:p>
          <w:p w14:paraId="18051D30" w14:textId="77777777" w:rsidR="00BF75B1" w:rsidRPr="00FE2977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FE2977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with the indication of the number of hours needed for their realization)</w:t>
            </w:r>
          </w:p>
        </w:tc>
      </w:tr>
      <w:tr w:rsidR="00BF75B1" w14:paraId="162DDB90" w14:textId="77777777" w:rsidTr="00B52B9E">
        <w:trPr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C658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**</w:t>
            </w:r>
          </w:p>
        </w:tc>
      </w:tr>
      <w:tr w:rsidR="00BF75B1" w14:paraId="4112BD95" w14:textId="77777777" w:rsidTr="00B52B9E">
        <w:trPr>
          <w:trHeight w:val="67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E2A0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009F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theory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AE33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BF75B1" w14:paraId="0132DBD5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DBEB" w14:textId="1B7E6E15" w:rsidR="00BF75B1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713B" w14:textId="0A5FF522" w:rsidR="00BF75B1" w:rsidRPr="005A75D1" w:rsidRDefault="005A75D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Homeostasis and its maintenance. Methods of intercellular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communication.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BA60" w14:textId="5A4B697C" w:rsidR="00BF75B1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5A35FF8F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87DB" w14:textId="5C51EA14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A58A" w14:textId="468822C9" w:rsidR="00BB0054" w:rsidRPr="005A75D1" w:rsidRDefault="005A75D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Types and function of muscles in the human body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75D3" w14:textId="1A1AABF1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53C23A05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D574" w14:textId="4D8DE1EC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B913" w14:textId="0E8F6158" w:rsidR="00BB0054" w:rsidRDefault="005A75D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Central nervous system – sensory and motor function. </w:t>
            </w:r>
            <w:proofErr w:type="spellStart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>Higher</w:t>
            </w:r>
            <w:proofErr w:type="spellEnd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>functions</w:t>
            </w:r>
            <w:proofErr w:type="spellEnd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>brain</w:t>
            </w:r>
            <w:proofErr w:type="spellEnd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0A5C" w14:textId="0C42F3A0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0D903671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9E0C" w14:textId="572100B6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1411" w14:textId="6F871AD0" w:rsidR="00BB0054" w:rsidRPr="005A75D1" w:rsidRDefault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B52B9E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Thermoregulation.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="005A75D1"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Autonomic nervous system: classification, mediators, receptors and their agonists and antagonists. Effect of the sympathetic and parasympathetic systems on organs and tissues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A49E" w14:textId="7F890801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454F9E8B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D997" w14:textId="28252820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5A09" w14:textId="3F6B5119" w:rsidR="00BB0054" w:rsidRPr="005A75D1" w:rsidRDefault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B52B9E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Physiology of blood. Formed elements of blood: reference values and functions. Blood types.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DF7C" w14:textId="4705081F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15ACE881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5626" w14:textId="34811D95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B3C3" w14:textId="5F7F4A0A" w:rsidR="00BB0054" w:rsidRPr="0032040F" w:rsidRDefault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Physiology of heart – phases of cardiac cycle, heart sounds,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volumes and pressure of cardiac chambers. Internal and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external regulation of heart function. Action of the cardiovascular system Regulation of the arterial blood pressure and vascular resistance.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3660" w14:textId="27156D8C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1B7E8FCE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9A87" w14:textId="58589B51" w:rsidR="00BB0054" w:rsidRDefault="00BB0054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2EE5" w14:textId="3148582C" w:rsidR="00BB0054" w:rsidRDefault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Function of the respiratory system. Ventilation of lungs. Compliance of lungs Respiratory resistance.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 xml:space="preserve">Spirometry. </w:t>
            </w:r>
            <w:proofErr w:type="spellStart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>Regulation</w:t>
            </w:r>
            <w:proofErr w:type="spellEnd"/>
            <w:r w:rsidRPr="005A75D1">
              <w:rPr>
                <w:rFonts w:ascii="Arial" w:hAnsi="Arial" w:cs="Arial"/>
                <w:spacing w:val="-2"/>
                <w:sz w:val="16"/>
                <w:szCs w:val="16"/>
              </w:rPr>
              <w:t xml:space="preserve"> of the respiratory system.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D8CA" w14:textId="7C1856FE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F75B1" w14:paraId="7901586C" w14:textId="77777777" w:rsidTr="00B52B9E">
        <w:trPr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1D86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**</w:t>
            </w:r>
          </w:p>
        </w:tc>
      </w:tr>
      <w:tr w:rsidR="00BF75B1" w14:paraId="4DABF942" w14:textId="77777777" w:rsidTr="00B52B9E">
        <w:trPr>
          <w:trHeight w:val="34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1C29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28EF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4312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BF75B1" w14:paraId="763A9FA2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2C25" w14:textId="4CCE44E2" w:rsidR="00BF75B1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791C" w14:textId="1F97A446" w:rsidR="00BF75B1" w:rsidRPr="005A75D1" w:rsidRDefault="005A75D1" w:rsidP="005A75D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Adaptation of the heart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and the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cardiovascular system to physical exercise. Assessment of SV, HR, Q. ECG.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5A75D1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Adaptation of the respiratory system to physical exercise.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EFB3" w14:textId="7996BA99" w:rsidR="00BF75B1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415E493C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D60A" w14:textId="203580A0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3A17" w14:textId="1E7901F7" w:rsidR="00BB0054" w:rsidRPr="00B52B9E" w:rsidRDefault="00B52B9E" w:rsidP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B52B9E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Muscles and training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.</w:t>
            </w:r>
            <w:r w:rsidRPr="00B52B9E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52F5" w14:textId="2681737F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71528C31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AD53" w14:textId="3F942A87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43F6" w14:textId="52068CAE" w:rsidR="00BB0054" w:rsidRPr="00B52B9E" w:rsidRDefault="00B52B9E" w:rsidP="00B52B9E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B52B9E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General physical efficiency and methods of its assessment. Maximum oxygen uptake (VO2max, oxygen threshold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).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030C" w14:textId="63FAEE26" w:rsidR="00BB0054" w:rsidRDefault="00B52B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BB0054" w14:paraId="3090ABE2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1704" w14:textId="323063EC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A469" w14:textId="7A6AA3C7" w:rsidR="00BB0054" w:rsidRPr="00600F8A" w:rsidRDefault="00600F8A" w:rsidP="00600F8A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The use of tests in the assessment of cardiovascular fitness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Martinett</w:t>
            </w:r>
            <w:proofErr w:type="spellEnd"/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test, Harvard test, Ruffier test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).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0D35" w14:textId="4BB7507E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7D87F58D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27B7" w14:textId="05761746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528" w14:textId="5C480C0A" w:rsidR="00BB0054" w:rsidRPr="00600F8A" w:rsidRDefault="00600F8A" w:rsidP="00600F8A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Anaerobic efforts.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Cardiovascular responses to static and strength efforts.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br/>
              <w:t>- Comparison of HR, RR changes during local and global efforts.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br/>
              <w:t>- Valsalva's working conditions, observation of Lindhard's paradox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F04F" w14:textId="5297CB29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3482C795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F844" w14:textId="1E67974C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1055" w14:textId="2B7DD1F7" w:rsidR="00BB0054" w:rsidRPr="00600F8A" w:rsidRDefault="00600F8A" w:rsidP="00600F8A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Physiological characteristics of restitution. Physical performance and exercise tolerance.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br/>
              <w:t>Types and importance of rest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Post-workout metabolism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Repayment of oxygen debt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Factors supporting the elimination of fatigue changes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Study of changes in hemodynamic indicators during the period of restitution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7F98" w14:textId="2459D87C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2B1E5D1E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F25D" w14:textId="0724014D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A370" w14:textId="7DC8B62E" w:rsidR="00BB0054" w:rsidRDefault="00EC0C4F" w:rsidP="00EC0C4F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Anaerobic threshold as an indicator of the effectiveness of endurance training.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br/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lastRenderedPageBreak/>
              <w:t>The importance of systematic physical activity in the prevention of certain metabolic disorders and cardiovascular diseases.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0C4F">
              <w:rPr>
                <w:rFonts w:ascii="Arial" w:hAnsi="Arial" w:cs="Arial"/>
                <w:spacing w:val="-2"/>
                <w:sz w:val="16"/>
                <w:szCs w:val="16"/>
              </w:rPr>
              <w:t>Conconi</w:t>
            </w:r>
            <w:proofErr w:type="spellEnd"/>
            <w:r w:rsidRPr="00EC0C4F">
              <w:rPr>
                <w:rFonts w:ascii="Arial" w:hAnsi="Arial" w:cs="Arial"/>
                <w:spacing w:val="-2"/>
                <w:sz w:val="16"/>
                <w:szCs w:val="16"/>
              </w:rPr>
              <w:t xml:space="preserve"> test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EEBB" w14:textId="25D2D8CD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1</w:t>
            </w:r>
          </w:p>
        </w:tc>
      </w:tr>
      <w:tr w:rsidR="00BB0054" w14:paraId="14E5831D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7182" w14:textId="0B528D6A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6224" w14:textId="33DD9F2C" w:rsidR="00BB0054" w:rsidRPr="00EC0C4F" w:rsidRDefault="00EC0C4F" w:rsidP="00EC0C4F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Assessment of anaerobic capacity.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The importance of warming up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Wingate test;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D7B7" w14:textId="24D3FC74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273151A0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9BE8" w14:textId="0AE3954E" w:rsidR="00BB0054" w:rsidRDefault="00B52B9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9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F67C" w14:textId="6ABD2F07" w:rsidR="00BB0054" w:rsidRPr="0032040F" w:rsidRDefault="00EC0C4F" w:rsidP="00EC0C4F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Physiology in hypokinesia.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Changes in the function of the circulatory system, respiration, blood composition and water and electrolyte balance during immobilization.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Orthostatic intolerance.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EC0C4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Impact of immobilization on skeletal muscles and the osteoarticular system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</w:t>
            </w:r>
            <w:r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Crampton's Test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DFC5" w14:textId="5CBB2FEA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B0054" w14:paraId="7CA9C8E6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0AF2" w14:textId="51958CC4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 w:rsidR="00B52B9E">
              <w:rPr>
                <w:rFonts w:ascii="Arial" w:hAnsi="Arial" w:cs="Arial"/>
                <w:spacing w:val="-2"/>
                <w:sz w:val="16"/>
                <w:szCs w:val="16"/>
              </w:rPr>
              <w:t>0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43E" w14:textId="1AA5580E" w:rsidR="00BB0054" w:rsidRDefault="0032040F" w:rsidP="0032040F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32040F">
              <w:rPr>
                <w:rFonts w:ascii="Arial" w:hAnsi="Arial" w:cs="Arial"/>
                <w:spacing w:val="-2"/>
                <w:sz w:val="16"/>
                <w:szCs w:val="16"/>
              </w:rPr>
              <w:t>Health</w:t>
            </w:r>
            <w:proofErr w:type="spellEnd"/>
            <w:r w:rsidRPr="0032040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2040F">
              <w:rPr>
                <w:rFonts w:ascii="Arial" w:hAnsi="Arial" w:cs="Arial"/>
                <w:spacing w:val="-2"/>
                <w:sz w:val="16"/>
                <w:szCs w:val="16"/>
              </w:rPr>
              <w:t>training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01F3" w14:textId="47389E1F" w:rsidR="00BB0054" w:rsidRDefault="003204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BB0054" w14:paraId="403EB8A8" w14:textId="77777777" w:rsidTr="00B52B9E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AD92" w14:textId="26E1ACD8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  <w:r w:rsidR="00B52B9E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ABC8" w14:textId="7F06514F" w:rsidR="00BB0054" w:rsidRDefault="0032040F" w:rsidP="0032040F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00F8A">
              <w:rPr>
                <w:rFonts w:ascii="Arial" w:hAnsi="Arial" w:cs="Arial"/>
                <w:spacing w:val="-2"/>
                <w:sz w:val="16"/>
                <w:szCs w:val="16"/>
              </w:rPr>
              <w:t>ging</w:t>
            </w:r>
            <w:proofErr w:type="spellEnd"/>
            <w:r w:rsidRPr="00600F8A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600F8A">
              <w:rPr>
                <w:rFonts w:ascii="Arial" w:hAnsi="Arial" w:cs="Arial"/>
                <w:spacing w:val="-2"/>
                <w:sz w:val="16"/>
                <w:szCs w:val="16"/>
              </w:rPr>
              <w:t>physiology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E729" w14:textId="295B46BF" w:rsidR="00BB0054" w:rsidRDefault="00BB005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BF75B1" w14:paraId="3B6B39F8" w14:textId="77777777" w:rsidTr="00B52B9E">
        <w:trPr>
          <w:trHeight w:val="45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0B027C" w14:textId="77777777" w:rsidR="00BF75B1" w:rsidRDefault="00CB2B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VIII. RECOMMENDED LITERATURE</w:t>
            </w:r>
          </w:p>
        </w:tc>
      </w:tr>
      <w:tr w:rsidR="00BF75B1" w:rsidRPr="0032040F" w14:paraId="7D63D526" w14:textId="77777777" w:rsidTr="00B52B9E">
        <w:trPr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C0A7" w14:textId="77777777" w:rsidR="00BF75B1" w:rsidRPr="0032040F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32040F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Basic sources:</w:t>
            </w:r>
          </w:p>
          <w:p w14:paraId="413A8D2D" w14:textId="68ACD5CC" w:rsidR="00BF75B1" w:rsidRPr="0032040F" w:rsidRDefault="00CB2B88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1.</w:t>
            </w:r>
            <w:r w:rsidR="0032040F"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Textbook of Medical Physiology – Arthur C. Guyton, John E. Hall.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14</w:t>
            </w:r>
            <w:r w:rsidR="0032040F" w:rsidRPr="0032040F">
              <w:rPr>
                <w:rFonts w:ascii="Arial" w:hAnsi="Arial" w:cs="Arial"/>
                <w:spacing w:val="-2"/>
                <w:sz w:val="16"/>
                <w:szCs w:val="16"/>
                <w:vertAlign w:val="superscript"/>
                <w:lang w:val="en-US"/>
              </w:rPr>
              <w:t>th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edition. Elsevier 2021. </w:t>
            </w:r>
            <w:hyperlink r:id="rId6" w:history="1">
              <w:r w:rsidR="0032040F" w:rsidRPr="0032040F">
                <w:rPr>
                  <w:rStyle w:val="Hipercze"/>
                  <w:rFonts w:ascii="Arial" w:hAnsi="Arial" w:cs="Arial"/>
                  <w:spacing w:val="-2"/>
                  <w:sz w:val="16"/>
                  <w:szCs w:val="16"/>
                  <w:lang w:val="en-US"/>
                </w:rPr>
                <w:t>Guyton And Hall Textbook Of Medical Physiology, 14ed 2021 : John E hall Micheal E hall : Free Download, Borrow, and Streaming : Internet Archive</w:t>
              </w:r>
            </w:hyperlink>
          </w:p>
          <w:p w14:paraId="7E46CE43" w14:textId="3A1582B1" w:rsidR="00BF75B1" w:rsidRPr="004B2A98" w:rsidRDefault="00CB2B88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2.</w:t>
            </w:r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Exercise Physiology. For health, fitness and performance - </w:t>
            </w:r>
            <w:r w:rsidR="004B2A98" w:rsidRP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Denise L. Smith</w:t>
            </w:r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, </w:t>
            </w:r>
            <w:r w:rsidR="004B2A98" w:rsidRP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Sharon A. Plowman</w:t>
            </w:r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, </w:t>
            </w:r>
            <w:r w:rsidR="004B2A98" w:rsidRP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Michael J. Ormsbee</w:t>
            </w:r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. Sixth </w:t>
            </w:r>
            <w:proofErr w:type="spellStart"/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edition.Wplters</w:t>
            </w:r>
            <w:proofErr w:type="spellEnd"/>
            <w:r w:rsidR="004B2A98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Kluwer 2023.</w:t>
            </w:r>
            <w:r w:rsidR="00F020EC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="00F020EC" w:rsidRPr="00F020EC">
                <w:rPr>
                  <w:rStyle w:val="Hipercze"/>
                  <w:rFonts w:ascii="Arial" w:hAnsi="Arial" w:cs="Arial"/>
                  <w:spacing w:val="-2"/>
                  <w:sz w:val="16"/>
                  <w:szCs w:val="16"/>
                  <w:lang w:val="en-US"/>
                </w:rPr>
                <w:t>Exercise physiology for health, fitness, and performance : Plowman, Sharon A : Free Download, Borrow, and Streaming : Internet Archive</w:t>
              </w:r>
            </w:hyperlink>
          </w:p>
        </w:tc>
      </w:tr>
      <w:tr w:rsidR="00BF75B1" w:rsidRPr="0032040F" w14:paraId="0F2C470F" w14:textId="77777777" w:rsidTr="00B52B9E">
        <w:trPr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19E6" w14:textId="77777777" w:rsidR="00BF75B1" w:rsidRPr="0032040F" w:rsidRDefault="00CB2B88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32040F">
              <w:rPr>
                <w:rFonts w:ascii="Arial" w:hAnsi="Arial" w:cs="Arial"/>
                <w:b/>
                <w:spacing w:val="-2"/>
                <w:sz w:val="16"/>
                <w:szCs w:val="16"/>
                <w:lang w:val="en-US"/>
              </w:rPr>
              <w:t>Additional sources:</w:t>
            </w:r>
          </w:p>
          <w:p w14:paraId="4AEF7993" w14:textId="640B491E" w:rsidR="00BF75B1" w:rsidRPr="0032040F" w:rsidRDefault="00CB2B88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  <w:r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1.</w:t>
            </w:r>
            <w:r w:rsidR="0032040F"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Human Physiology – Dee U. Silverthorn.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="0032040F" w:rsidRP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San Francisco : Pearson/Benjamin Cummings </w:t>
            </w:r>
            <w:r w:rsidR="0032040F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2004 </w:t>
            </w:r>
            <w:hyperlink r:id="rId8" w:history="1">
              <w:r w:rsidR="0032040F" w:rsidRPr="0032040F">
                <w:rPr>
                  <w:rStyle w:val="Hipercze"/>
                  <w:rFonts w:ascii="Arial" w:hAnsi="Arial" w:cs="Arial"/>
                  <w:spacing w:val="-2"/>
                  <w:sz w:val="16"/>
                  <w:szCs w:val="16"/>
                  <w:lang w:val="en-US"/>
                </w:rPr>
                <w:t>Human physiology : an integrated approach : Silverthorn, Dee Unglaub, 1948- : Free Download, Borrow, and Streaming : Internet Archive</w:t>
              </w:r>
            </w:hyperlink>
          </w:p>
          <w:p w14:paraId="6017E154" w14:textId="0195E4C9" w:rsidR="00BF75B1" w:rsidRPr="0032040F" w:rsidRDefault="00BF75B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</w:pPr>
          </w:p>
        </w:tc>
      </w:tr>
    </w:tbl>
    <w:p w14:paraId="30AEC15F" w14:textId="77777777" w:rsidR="00BF75B1" w:rsidRPr="0032040F" w:rsidRDefault="00BF75B1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val="en-US" w:eastAsia="pl-PL"/>
        </w:rPr>
      </w:pPr>
    </w:p>
    <w:p w14:paraId="3B3D38D2" w14:textId="77777777" w:rsidR="00BF75B1" w:rsidRPr="0032040F" w:rsidRDefault="00BF75B1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val="en-US" w:eastAsia="pl-PL"/>
        </w:rPr>
      </w:pPr>
    </w:p>
    <w:p w14:paraId="36B9ABED" w14:textId="77777777" w:rsidR="00BF75B1" w:rsidRPr="0032040F" w:rsidRDefault="00BF75B1">
      <w:pPr>
        <w:spacing w:after="0"/>
        <w:rPr>
          <w:rFonts w:ascii="Arial" w:hAnsi="Arial" w:cs="Arial"/>
          <w:kern w:val="2"/>
          <w:sz w:val="18"/>
          <w:szCs w:val="18"/>
          <w:lang w:val="en-US"/>
        </w:rPr>
      </w:pPr>
    </w:p>
    <w:sectPr w:rsidR="00BF75B1" w:rsidRPr="0032040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D9"/>
    <w:multiLevelType w:val="multilevel"/>
    <w:tmpl w:val="6B1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2B17"/>
    <w:multiLevelType w:val="multilevel"/>
    <w:tmpl w:val="A02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B1"/>
    <w:rsid w:val="000F7924"/>
    <w:rsid w:val="0032040F"/>
    <w:rsid w:val="004A76C1"/>
    <w:rsid w:val="004B2A98"/>
    <w:rsid w:val="005A75D1"/>
    <w:rsid w:val="00600F8A"/>
    <w:rsid w:val="00687EDF"/>
    <w:rsid w:val="007C1739"/>
    <w:rsid w:val="008F1EE0"/>
    <w:rsid w:val="00981A74"/>
    <w:rsid w:val="009C3AAC"/>
    <w:rsid w:val="00B52B9E"/>
    <w:rsid w:val="00BB0054"/>
    <w:rsid w:val="00BF75B1"/>
    <w:rsid w:val="00CB2B88"/>
    <w:rsid w:val="00EC0C4F"/>
    <w:rsid w:val="00EF1BCB"/>
    <w:rsid w:val="00F020EC"/>
    <w:rsid w:val="00F66CE0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1DB1D"/>
  <w15:docId w15:val="{CD29025A-57BD-4662-96D4-188F079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0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628D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5Char">
    <w:name w:val="Heading 5 Char"/>
    <w:uiPriority w:val="9"/>
    <w:semiHidden/>
    <w:qFormat/>
    <w:rsid w:val="007843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32118"/>
    <w:rPr>
      <w:rFonts w:ascii="Segoe UI" w:hAnsi="Segoe UI" w:cs="Segoe UI"/>
      <w:sz w:val="18"/>
      <w:szCs w:val="18"/>
    </w:rPr>
  </w:style>
  <w:style w:type="character" w:customStyle="1" w:styleId="MapadokumentuZnak">
    <w:name w:val="Mapa dokumentu Znak"/>
    <w:link w:val="Mapadokumentu"/>
    <w:uiPriority w:val="99"/>
    <w:semiHidden/>
    <w:qFormat/>
    <w:rsid w:val="00784334"/>
    <w:rPr>
      <w:rFonts w:ascii="Times New Roman" w:hAnsi="Times New Roman"/>
      <w:sz w:val="0"/>
      <w:szCs w:val="0"/>
      <w:lang w:eastAsia="en-US"/>
    </w:rPr>
  </w:style>
  <w:style w:type="character" w:customStyle="1" w:styleId="Nagwek5Znak">
    <w:name w:val="Nagłówek 5 Znak"/>
    <w:link w:val="Nagwek5"/>
    <w:uiPriority w:val="99"/>
    <w:qFormat/>
    <w:locked/>
    <w:rsid w:val="00B628DA"/>
    <w:rPr>
      <w:rFonts w:ascii="Cambria" w:hAnsi="Cambria"/>
      <w:color w:val="243F60"/>
      <w:lang w:val="pl-PL" w:eastAsia="pl-PL"/>
    </w:rPr>
  </w:style>
  <w:style w:type="character" w:customStyle="1" w:styleId="BodyTextIndentChar">
    <w:name w:val="Body Text Indent Char"/>
    <w:uiPriority w:val="99"/>
    <w:semiHidden/>
    <w:qFormat/>
    <w:rsid w:val="00784334"/>
    <w:rPr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B628DA"/>
    <w:rPr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9321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B348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B628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628DA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040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humanphysiology00deeu/page/n31/mode/2up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ive.org/details/exercisephysiolo0000pl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org/details/guyton-and-hall-textbook-of-medical-physiology-14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96C8-9149-4D5E-830A-0AF76FE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CWUP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Kasza Aneta</dc:creator>
  <dc:description/>
  <cp:lastModifiedBy>Witkowska Małgorzata</cp:lastModifiedBy>
  <cp:revision>5</cp:revision>
  <cp:lastPrinted>2025-02-24T07:21:00Z</cp:lastPrinted>
  <dcterms:created xsi:type="dcterms:W3CDTF">2025-02-25T17:59:00Z</dcterms:created>
  <dcterms:modified xsi:type="dcterms:W3CDTF">2025-03-19T10:06:00Z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f1c8cdf7521a8fa0fd4b124148346a4ae8bd156996727fc5a75ea5c6993c4100</vt:lpwstr>
  </property>
</Properties>
</file>